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B86A86">
        <w:rPr>
          <w:rStyle w:val="Strong"/>
          <w:rFonts w:cstheme="minorBidi"/>
          <w:sz w:val="28"/>
          <w:szCs w:val="28"/>
        </w:rPr>
        <w:t>November 3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B86A86">
        <w:rPr>
          <w:rStyle w:val="Strong"/>
          <w:rFonts w:cstheme="minorHAnsi"/>
          <w:sz w:val="28"/>
          <w:szCs w:val="28"/>
        </w:rPr>
        <w:t>MB 350</w:t>
      </w:r>
      <w:r w:rsidR="00DE0D8C">
        <w:rPr>
          <w:rStyle w:val="Strong"/>
          <w:rFonts w:cstheme="minorHAnsi"/>
          <w:sz w:val="28"/>
          <w:szCs w:val="28"/>
        </w:rPr>
        <w:t xml:space="preserve">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r w:rsidR="004A2C53">
        <w:rPr>
          <w:rFonts w:cstheme="minorHAnsi"/>
          <w:sz w:val="28"/>
          <w:szCs w:val="28"/>
        </w:rPr>
        <w:t xml:space="preserve"> Gomez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</w:t>
      </w:r>
      <w:r w:rsidR="004C766B">
        <w:rPr>
          <w:rFonts w:asciiTheme="minorHAnsi" w:hAnsiTheme="minorHAnsi" w:cstheme="minorHAnsi"/>
          <w:sz w:val="28"/>
          <w:szCs w:val="28"/>
        </w:rPr>
        <w:t>Student Equity and Achievement Committee (SEAC)</w:t>
      </w:r>
      <w:r w:rsidRPr="00C34159">
        <w:rPr>
          <w:rFonts w:asciiTheme="minorHAnsi" w:hAnsiTheme="minorHAnsi" w:cstheme="minorHAnsi"/>
          <w:sz w:val="28"/>
          <w:szCs w:val="28"/>
        </w:rPr>
        <w:t>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</w:t>
      </w:r>
      <w:r w:rsidR="0051050A">
        <w:rPr>
          <w:rFonts w:asciiTheme="minorHAnsi" w:hAnsiTheme="minorHAnsi" w:cstheme="minorHAnsi"/>
          <w:sz w:val="28"/>
          <w:szCs w:val="28"/>
        </w:rPr>
        <w:t xml:space="preserve"> Education Program – Corey Marvin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lastRenderedPageBreak/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132A2B">
      <w:pPr>
        <w:pStyle w:val="Heading2"/>
        <w:tabs>
          <w:tab w:val="left" w:pos="90"/>
        </w:tabs>
        <w:spacing w:after="0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132A2B" w:rsidRPr="001D20F9" w:rsidRDefault="00B86A86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AUP’s – See attached list</w:t>
      </w:r>
    </w:p>
    <w:p w:rsidR="001D20F9" w:rsidRDefault="001D20F9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6A86">
        <w:rPr>
          <w:rFonts w:asciiTheme="minorHAnsi" w:hAnsiTheme="minorHAnsi" w:cstheme="minorHAnsi"/>
          <w:sz w:val="28"/>
          <w:szCs w:val="28"/>
        </w:rPr>
        <w:t>Educational Master Plan Proposal (attachment) – President Hancock</w:t>
      </w:r>
    </w:p>
    <w:p w:rsidR="000E2517" w:rsidRPr="00DB4B01" w:rsidRDefault="000E2517" w:rsidP="00132A2B">
      <w:pPr>
        <w:ind w:left="360"/>
      </w:pPr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Pr="004316F2" w:rsidRDefault="00CA3C67" w:rsidP="004316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316F2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4316F2">
        <w:rPr>
          <w:rFonts w:asciiTheme="minorHAnsi" w:hAnsiTheme="minorHAnsi" w:cstheme="minorHAnsi"/>
          <w:sz w:val="28"/>
          <w:szCs w:val="28"/>
        </w:rPr>
        <w:t>Update</w:t>
      </w:r>
      <w:r w:rsidRPr="004316F2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4316F2">
        <w:rPr>
          <w:rFonts w:asciiTheme="minorHAnsi" w:hAnsiTheme="minorHAnsi" w:cstheme="minorHAnsi"/>
          <w:sz w:val="28"/>
          <w:szCs w:val="28"/>
        </w:rPr>
        <w:t xml:space="preserve">(attachment) </w:t>
      </w:r>
      <w:r w:rsidRPr="004316F2">
        <w:rPr>
          <w:rFonts w:asciiTheme="minorHAnsi" w:hAnsiTheme="minorHAnsi" w:cstheme="minorHAnsi"/>
          <w:sz w:val="28"/>
          <w:szCs w:val="28"/>
        </w:rPr>
        <w:t>– President Hancock</w:t>
      </w:r>
    </w:p>
    <w:p w:rsidR="004316F2" w:rsidRPr="004316F2" w:rsidRDefault="004316F2" w:rsidP="004316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0063477A" w:rsidRDefault="00B86A86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12.1 </w:t>
      </w:r>
      <w:r w:rsidR="0046472B">
        <w:rPr>
          <w:b w:val="0"/>
        </w:rPr>
        <w:t>President’s Town Hall Reflection</w:t>
      </w:r>
    </w:p>
    <w:p w:rsidR="747F5125" w:rsidRDefault="2179C754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bookmarkStart w:id="0" w:name="_GoBack"/>
      <w:bookmarkEnd w:id="0"/>
      <w:r>
        <w:rPr>
          <w:b w:val="0"/>
        </w:rPr>
        <w:t xml:space="preserve">  </w:t>
      </w:r>
    </w:p>
    <w:p w:rsidR="00D70453" w:rsidRPr="00A827BB" w:rsidRDefault="00D70453" w:rsidP="00FA11BB">
      <w:pPr>
        <w:pStyle w:val="Heading2"/>
        <w:tabs>
          <w:tab w:val="left" w:pos="90"/>
        </w:tabs>
        <w:spacing w:after="0"/>
        <w:rPr>
          <w:rFonts w:cstheme="minorBidi"/>
        </w:rPr>
      </w:pPr>
      <w:r w:rsidRPr="00A827BB">
        <w:rPr>
          <w:rFonts w:cstheme="minorBidi"/>
        </w:rPr>
        <w:t>Review of Action Items</w:t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15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3447BF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447BF">
              <w:rPr>
                <w:rFonts w:asciiTheme="minorHAnsi" w:hAnsiTheme="minorHAnsi" w:cstheme="minorBidi"/>
                <w:strike/>
              </w:rPr>
              <w:t>October 6</w:t>
            </w:r>
            <w:r w:rsidR="00C13CEE" w:rsidRPr="003447BF">
              <w:rPr>
                <w:rFonts w:asciiTheme="minorHAnsi" w:hAnsiTheme="minorHAnsi" w:cstheme="minorBidi"/>
                <w:strike/>
              </w:rPr>
              <w:t>, 202</w:t>
            </w:r>
            <w:r w:rsidRPr="003447BF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t>November 3</w:t>
            </w:r>
            <w:r w:rsidR="00C13CEE" w:rsidRPr="00B86A86">
              <w:rPr>
                <w:rFonts w:asciiTheme="minorHAnsi" w:hAnsiTheme="minorHAnsi" w:cstheme="minorBidi"/>
                <w:strike/>
              </w:rPr>
              <w:t>, 202</w:t>
            </w:r>
            <w:r w:rsidRPr="00B86A86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0A6A71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November </w:t>
            </w:r>
            <w:r w:rsidR="000A6A71">
              <w:rPr>
                <w:rFonts w:asciiTheme="minorHAnsi" w:hAnsiTheme="minorHAnsi" w:cstheme="minorBidi"/>
              </w:rPr>
              <w:t>8</w:t>
            </w:r>
            <w:r>
              <w:rPr>
                <w:rFonts w:asciiTheme="minorHAnsi" w:hAnsiTheme="minorHAnsi" w:cstheme="minorBidi"/>
              </w:rPr>
              <w:t>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0A6A71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</w:t>
            </w:r>
            <w:r w:rsidR="00AE2003">
              <w:rPr>
                <w:rFonts w:asciiTheme="minorHAnsi" w:hAnsiTheme="minorHAnsi" w:cstheme="minorBidi"/>
              </w:rPr>
              <w:t>, 2022</w:t>
            </w:r>
            <w:r>
              <w:rPr>
                <w:rFonts w:asciiTheme="minorHAnsi" w:hAnsiTheme="minorHAnsi" w:cstheme="minorBidi"/>
              </w:rPr>
              <w:br/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001842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lastRenderedPageBreak/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DF" w:rsidRDefault="00E222DF" w:rsidP="007569AE">
      <w:r>
        <w:separator/>
      </w:r>
    </w:p>
  </w:endnote>
  <w:endnote w:type="continuationSeparator" w:id="0">
    <w:p w:rsidR="00E222DF" w:rsidRDefault="00E222DF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DF" w:rsidRDefault="00E222DF" w:rsidP="007569AE">
      <w:r>
        <w:separator/>
      </w:r>
    </w:p>
  </w:footnote>
  <w:footnote w:type="continuationSeparator" w:id="0">
    <w:p w:rsidR="00E222DF" w:rsidRDefault="00E222DF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6A71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07B64"/>
    <w:rsid w:val="00125C60"/>
    <w:rsid w:val="001265B6"/>
    <w:rsid w:val="00130287"/>
    <w:rsid w:val="00132A2B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20F9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52BB1"/>
    <w:rsid w:val="002624FF"/>
    <w:rsid w:val="00265C22"/>
    <w:rsid w:val="0027399E"/>
    <w:rsid w:val="00274D8A"/>
    <w:rsid w:val="00276521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018F"/>
    <w:rsid w:val="00332FA1"/>
    <w:rsid w:val="0033303C"/>
    <w:rsid w:val="00333631"/>
    <w:rsid w:val="00335D76"/>
    <w:rsid w:val="003365E6"/>
    <w:rsid w:val="0034220C"/>
    <w:rsid w:val="003447BF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316F2"/>
    <w:rsid w:val="00442245"/>
    <w:rsid w:val="00443F74"/>
    <w:rsid w:val="00447213"/>
    <w:rsid w:val="00456557"/>
    <w:rsid w:val="0046472B"/>
    <w:rsid w:val="004712F4"/>
    <w:rsid w:val="0047715F"/>
    <w:rsid w:val="0047789D"/>
    <w:rsid w:val="00477D52"/>
    <w:rsid w:val="00491B39"/>
    <w:rsid w:val="00492022"/>
    <w:rsid w:val="004A2C53"/>
    <w:rsid w:val="004A42EF"/>
    <w:rsid w:val="004B1E01"/>
    <w:rsid w:val="004B353D"/>
    <w:rsid w:val="004B3C4F"/>
    <w:rsid w:val="004B7B3C"/>
    <w:rsid w:val="004C766B"/>
    <w:rsid w:val="004C7C99"/>
    <w:rsid w:val="004D33E6"/>
    <w:rsid w:val="004E42B1"/>
    <w:rsid w:val="004F31B6"/>
    <w:rsid w:val="004F343A"/>
    <w:rsid w:val="004F41D7"/>
    <w:rsid w:val="00507A3F"/>
    <w:rsid w:val="0051050A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3FD"/>
    <w:rsid w:val="005A0D40"/>
    <w:rsid w:val="005A5B97"/>
    <w:rsid w:val="005B0815"/>
    <w:rsid w:val="005B100D"/>
    <w:rsid w:val="005B53F5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477A"/>
    <w:rsid w:val="006356A1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5C4B"/>
    <w:rsid w:val="006E15BA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1B75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17D"/>
    <w:rsid w:val="009E0A66"/>
    <w:rsid w:val="009F2D86"/>
    <w:rsid w:val="009F474D"/>
    <w:rsid w:val="009F5594"/>
    <w:rsid w:val="00A11060"/>
    <w:rsid w:val="00A26409"/>
    <w:rsid w:val="00A27B95"/>
    <w:rsid w:val="00A33941"/>
    <w:rsid w:val="00A3507C"/>
    <w:rsid w:val="00A42150"/>
    <w:rsid w:val="00A61B20"/>
    <w:rsid w:val="00A636C0"/>
    <w:rsid w:val="00A75D2D"/>
    <w:rsid w:val="00A76EB6"/>
    <w:rsid w:val="00A827BB"/>
    <w:rsid w:val="00A92BF2"/>
    <w:rsid w:val="00A96E4A"/>
    <w:rsid w:val="00AA1730"/>
    <w:rsid w:val="00AA5301"/>
    <w:rsid w:val="00AA678A"/>
    <w:rsid w:val="00AB719D"/>
    <w:rsid w:val="00AC1E61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558AA"/>
    <w:rsid w:val="00B60D9D"/>
    <w:rsid w:val="00B67260"/>
    <w:rsid w:val="00B70CB5"/>
    <w:rsid w:val="00B71FD4"/>
    <w:rsid w:val="00B720A4"/>
    <w:rsid w:val="00B7478D"/>
    <w:rsid w:val="00B76F91"/>
    <w:rsid w:val="00B852EF"/>
    <w:rsid w:val="00B86A86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32E1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6989"/>
    <w:rsid w:val="00CC7EAF"/>
    <w:rsid w:val="00CD0590"/>
    <w:rsid w:val="00CD229D"/>
    <w:rsid w:val="00CE0A79"/>
    <w:rsid w:val="00CE48C4"/>
    <w:rsid w:val="00CF198E"/>
    <w:rsid w:val="00CF4AB2"/>
    <w:rsid w:val="00D06DAD"/>
    <w:rsid w:val="00D10FAD"/>
    <w:rsid w:val="00D11F59"/>
    <w:rsid w:val="00D15014"/>
    <w:rsid w:val="00D20EAE"/>
    <w:rsid w:val="00D2707D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844FA"/>
    <w:rsid w:val="00D92EEC"/>
    <w:rsid w:val="00D931BD"/>
    <w:rsid w:val="00D968F9"/>
    <w:rsid w:val="00DA6EC8"/>
    <w:rsid w:val="00DB0366"/>
    <w:rsid w:val="00DB4B01"/>
    <w:rsid w:val="00DB55DB"/>
    <w:rsid w:val="00DB62F6"/>
    <w:rsid w:val="00DC2C93"/>
    <w:rsid w:val="00DD498F"/>
    <w:rsid w:val="00DD6A1E"/>
    <w:rsid w:val="00DD6FDA"/>
    <w:rsid w:val="00DE0D8C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22DF"/>
    <w:rsid w:val="00E263E2"/>
    <w:rsid w:val="00E33793"/>
    <w:rsid w:val="00E41243"/>
    <w:rsid w:val="00E43B9C"/>
    <w:rsid w:val="00E45A1F"/>
    <w:rsid w:val="00E50056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161F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0252"/>
    <w:rsid w:val="00FA11BB"/>
    <w:rsid w:val="00FA14CC"/>
    <w:rsid w:val="00FA1AA7"/>
    <w:rsid w:val="00FC1AA0"/>
    <w:rsid w:val="00FD429C"/>
    <w:rsid w:val="00FD5BF0"/>
    <w:rsid w:val="00FE3BF3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0D679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documentManagement/types"/>
    <ds:schemaRef ds:uri="454fd486-4e42-4a7f-bc2f-e2145d19cd8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fba0a56-dfce-4d1b-b42e-42eaba50a1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A5AEA-140E-4D56-9C3B-6026A706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</cp:revision>
  <cp:lastPrinted>2020-03-04T18:45:00Z</cp:lastPrinted>
  <dcterms:created xsi:type="dcterms:W3CDTF">2022-11-01T18:10:00Z</dcterms:created>
  <dcterms:modified xsi:type="dcterms:W3CDTF">2022-11-01T18:11:00Z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